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8C11C" w14:textId="232A05CC" w:rsidR="00890A47" w:rsidRPr="00B5441C" w:rsidRDefault="00890A47" w:rsidP="00890A47">
      <w:pPr>
        <w:rPr>
          <w:b/>
        </w:rPr>
      </w:pPr>
      <w:r w:rsidRPr="00B5441C">
        <w:rPr>
          <w:b/>
        </w:rPr>
        <w:t xml:space="preserve">RAM Scientific Committee Coordinator Report </w:t>
      </w:r>
      <w:r>
        <w:rPr>
          <w:b/>
        </w:rPr>
        <w:t>September</w:t>
      </w:r>
      <w:r w:rsidRPr="00B5441C">
        <w:rPr>
          <w:b/>
        </w:rPr>
        <w:t xml:space="preserve"> 2020</w:t>
      </w:r>
    </w:p>
    <w:p w14:paraId="3025105C" w14:textId="75D9792E" w:rsidR="00890A47" w:rsidRDefault="00890A47" w:rsidP="00890A47">
      <w:pPr>
        <w:spacing w:after="0"/>
        <w:rPr>
          <w:b/>
        </w:rPr>
      </w:pPr>
      <w:r w:rsidRPr="00B5441C">
        <w:rPr>
          <w:b/>
        </w:rPr>
        <w:t>Scientific Developments</w:t>
      </w:r>
      <w:r>
        <w:rPr>
          <w:b/>
        </w:rPr>
        <w:t xml:space="preserve"> (not exhaustive):</w:t>
      </w:r>
    </w:p>
    <w:p w14:paraId="330AC948" w14:textId="77777777" w:rsidR="000A2960" w:rsidRDefault="000A2960" w:rsidP="00890A47">
      <w:pPr>
        <w:spacing w:after="0"/>
        <w:rPr>
          <w:b/>
        </w:rPr>
      </w:pPr>
    </w:p>
    <w:p w14:paraId="265A50CC" w14:textId="5AC4A6EB" w:rsidR="005F6485" w:rsidRDefault="008D10A2" w:rsidP="006A358C">
      <w:pPr>
        <w:pStyle w:val="ListParagraph"/>
        <w:numPr>
          <w:ilvl w:val="0"/>
          <w:numId w:val="2"/>
        </w:numPr>
        <w:rPr>
          <w:b/>
          <w:bCs/>
        </w:rPr>
      </w:pPr>
      <w:r w:rsidRPr="00A64C60">
        <w:rPr>
          <w:b/>
          <w:bCs/>
        </w:rPr>
        <w:t>Vaccine Future Use Scenario</w:t>
      </w:r>
      <w:r w:rsidR="00E32388">
        <w:rPr>
          <w:b/>
          <w:bCs/>
        </w:rPr>
        <w:t>s</w:t>
      </w:r>
    </w:p>
    <w:p w14:paraId="45445D69" w14:textId="661F1E02" w:rsidR="00E32388" w:rsidRDefault="00E32388" w:rsidP="007758AA">
      <w:pPr>
        <w:pStyle w:val="ListParagraph"/>
        <w:spacing w:before="240"/>
        <w:ind w:left="0"/>
        <w:rPr>
          <w:rFonts w:eastAsia="Times New Roman"/>
        </w:rPr>
      </w:pPr>
      <w:r w:rsidRPr="00C9547F">
        <w:rPr>
          <w:rFonts w:ascii="Calibri" w:hAnsi="Calibri" w:cs="Calibri"/>
          <w:color w:val="2E2E2E"/>
        </w:rPr>
        <w:t>In 2014, the WHO set the preferred characteristics of malaria vaccines: with an efficacy of 85% and duration of protection of a least two years (</w:t>
      </w:r>
      <w:bookmarkStart w:id="0" w:name="bbb0325"/>
      <w:r w:rsidRPr="00C9547F">
        <w:rPr>
          <w:rFonts w:ascii="Calibri" w:hAnsi="Calibri" w:cs="Calibri"/>
        </w:rPr>
        <w:fldChar w:fldCharType="begin"/>
      </w:r>
      <w:r w:rsidRPr="00C9547F">
        <w:rPr>
          <w:rFonts w:ascii="Calibri" w:hAnsi="Calibri" w:cs="Calibri"/>
        </w:rPr>
        <w:instrText xml:space="preserve"> HYPERLINK "https://www.sciencedirect.com/science/article/pii/S2405673120300143?dgcid=raven_sd_via_email" \l "bb0325" </w:instrText>
      </w:r>
      <w:r w:rsidRPr="00C9547F">
        <w:rPr>
          <w:rFonts w:ascii="Calibri" w:hAnsi="Calibri" w:cs="Calibri"/>
        </w:rPr>
        <w:fldChar w:fldCharType="separate"/>
      </w:r>
      <w:r w:rsidRPr="00C9547F">
        <w:rPr>
          <w:rStyle w:val="Hyperlink"/>
          <w:rFonts w:ascii="Calibri" w:hAnsi="Calibri" w:cs="Calibri"/>
          <w:color w:val="0C7DBB"/>
          <w:u w:val="none"/>
        </w:rPr>
        <w:t>World Health Organisation, 2015</w:t>
      </w:r>
      <w:r w:rsidRPr="00C9547F">
        <w:rPr>
          <w:rFonts w:ascii="Calibri" w:hAnsi="Calibri" w:cs="Calibri"/>
        </w:rPr>
        <w:fldChar w:fldCharType="end"/>
      </w:r>
      <w:bookmarkEnd w:id="0"/>
      <w:r w:rsidRPr="00C9547F">
        <w:rPr>
          <w:rFonts w:ascii="Calibri" w:hAnsi="Calibri" w:cs="Calibri"/>
          <w:color w:val="2E2E2E"/>
        </w:rPr>
        <w:t>).</w:t>
      </w:r>
      <w:r w:rsidR="005D065A">
        <w:rPr>
          <w:rFonts w:ascii="Calibri" w:hAnsi="Calibri" w:cs="Calibri"/>
          <w:color w:val="2E2E2E"/>
        </w:rPr>
        <w:t xml:space="preserve"> </w:t>
      </w:r>
      <w:r w:rsidR="008941AF">
        <w:rPr>
          <w:rFonts w:ascii="Calibri" w:hAnsi="Calibri" w:cs="Calibri"/>
          <w:color w:val="2E2E2E"/>
        </w:rPr>
        <w:t xml:space="preserve"> Widespread use of a malaria vaccine with these characteristics</w:t>
      </w:r>
      <w:r w:rsidR="00105387">
        <w:rPr>
          <w:rFonts w:ascii="Calibri" w:hAnsi="Calibri" w:cs="Calibri"/>
          <w:color w:val="2E2E2E"/>
        </w:rPr>
        <w:t xml:space="preserve">, if achieved, </w:t>
      </w:r>
      <w:r w:rsidR="00BC58C2">
        <w:rPr>
          <w:rFonts w:ascii="Calibri" w:hAnsi="Calibri" w:cs="Calibri"/>
          <w:color w:val="2E2E2E"/>
        </w:rPr>
        <w:t>would offer the prospect of malaria elimination</w:t>
      </w:r>
      <w:r w:rsidR="00407A1E">
        <w:rPr>
          <w:rFonts w:ascii="Calibri" w:hAnsi="Calibri" w:cs="Calibri"/>
          <w:color w:val="2E2E2E"/>
        </w:rPr>
        <w:t xml:space="preserve"> through </w:t>
      </w:r>
      <w:r w:rsidR="00C729C1">
        <w:rPr>
          <w:rFonts w:ascii="Calibri" w:hAnsi="Calibri" w:cs="Calibri"/>
          <w:color w:val="2E2E2E"/>
        </w:rPr>
        <w:t xml:space="preserve">“sterilisation immunity” but </w:t>
      </w:r>
      <w:r w:rsidR="0040124B">
        <w:rPr>
          <w:rFonts w:ascii="Calibri" w:hAnsi="Calibri" w:cs="Calibri"/>
          <w:color w:val="2E2E2E"/>
        </w:rPr>
        <w:t xml:space="preserve">field trials of candidate vaccines, including the RTS,S vaccine with adjuvant </w:t>
      </w:r>
      <w:r w:rsidR="00B1053D">
        <w:rPr>
          <w:rFonts w:ascii="Calibri" w:hAnsi="Calibri" w:cs="Calibri"/>
          <w:color w:val="2E2E2E"/>
        </w:rPr>
        <w:t>AS</w:t>
      </w:r>
      <w:r w:rsidR="00D2540C">
        <w:rPr>
          <w:rFonts w:ascii="Calibri" w:hAnsi="Calibri" w:cs="Calibri"/>
          <w:color w:val="2E2E2E"/>
        </w:rPr>
        <w:t>01 (RTS.S/AS01)</w:t>
      </w:r>
      <w:r w:rsidR="00DF317D">
        <w:rPr>
          <w:rFonts w:ascii="Calibri" w:hAnsi="Calibri" w:cs="Calibri"/>
          <w:color w:val="2E2E2E"/>
        </w:rPr>
        <w:t xml:space="preserve"> have fallen short </w:t>
      </w:r>
      <w:r w:rsidR="00D61723">
        <w:rPr>
          <w:rFonts w:ascii="Calibri" w:hAnsi="Calibri" w:cs="Calibri"/>
          <w:color w:val="2E2E2E"/>
        </w:rPr>
        <w:t>of the 85% efficacy</w:t>
      </w:r>
      <w:r w:rsidR="008941AF">
        <w:rPr>
          <w:rFonts w:ascii="Calibri" w:hAnsi="Calibri" w:cs="Calibri"/>
          <w:color w:val="2E2E2E"/>
        </w:rPr>
        <w:t xml:space="preserve"> </w:t>
      </w:r>
      <w:r w:rsidR="00D61723">
        <w:rPr>
          <w:rFonts w:ascii="Calibri" w:hAnsi="Calibri" w:cs="Calibri"/>
          <w:color w:val="2E2E2E"/>
        </w:rPr>
        <w:t>and two year protection target.</w:t>
      </w:r>
      <w:r w:rsidR="000B4F75">
        <w:rPr>
          <w:rFonts w:ascii="Calibri" w:hAnsi="Calibri" w:cs="Calibri"/>
          <w:color w:val="2E2E2E"/>
        </w:rPr>
        <w:t xml:space="preserve">  </w:t>
      </w:r>
      <w:r w:rsidR="007F0B76">
        <w:rPr>
          <w:rFonts w:ascii="Calibri" w:hAnsi="Calibri" w:cs="Calibri"/>
          <w:color w:val="2E2E2E"/>
        </w:rPr>
        <w:t xml:space="preserve">Accordingly, attention has now turned to how best to use vaccines </w:t>
      </w:r>
      <w:r w:rsidR="00E965AC">
        <w:rPr>
          <w:rFonts w:ascii="Calibri" w:hAnsi="Calibri" w:cs="Calibri"/>
          <w:color w:val="2E2E2E"/>
        </w:rPr>
        <w:t xml:space="preserve">with lesser efficacy and shorter protection times </w:t>
      </w:r>
      <w:r w:rsidR="0097750A">
        <w:rPr>
          <w:rFonts w:ascii="Calibri" w:hAnsi="Calibri" w:cs="Calibri"/>
          <w:color w:val="2E2E2E"/>
        </w:rPr>
        <w:t xml:space="preserve">in combination with other malaria reduction </w:t>
      </w:r>
      <w:r w:rsidR="00AB7C94">
        <w:rPr>
          <w:rFonts w:ascii="Calibri" w:hAnsi="Calibri" w:cs="Calibri"/>
          <w:color w:val="2E2E2E"/>
        </w:rPr>
        <w:t xml:space="preserve">and intervention </w:t>
      </w:r>
      <w:r w:rsidR="0097750A">
        <w:rPr>
          <w:rFonts w:ascii="Calibri" w:hAnsi="Calibri" w:cs="Calibri"/>
          <w:color w:val="2E2E2E"/>
        </w:rPr>
        <w:t xml:space="preserve">strategies </w:t>
      </w:r>
      <w:r w:rsidR="0046742A">
        <w:rPr>
          <w:rFonts w:ascii="Calibri" w:hAnsi="Calibri" w:cs="Calibri"/>
          <w:color w:val="2E2E2E"/>
        </w:rPr>
        <w:t>to achieve the best overall malaria “health goals</w:t>
      </w:r>
      <w:r w:rsidR="00D4590E">
        <w:rPr>
          <w:rFonts w:ascii="Calibri" w:hAnsi="Calibri" w:cs="Calibri"/>
          <w:color w:val="2E2E2E"/>
        </w:rPr>
        <w:t>” in different settings.</w:t>
      </w:r>
      <w:r w:rsidR="0043258D">
        <w:rPr>
          <w:rFonts w:ascii="Calibri" w:hAnsi="Calibri" w:cs="Calibri"/>
          <w:color w:val="2E2E2E"/>
        </w:rPr>
        <w:t xml:space="preserve">  In a recent paper (</w:t>
      </w:r>
      <w:r w:rsidR="007B3214">
        <w:rPr>
          <w:rFonts w:ascii="Calibri" w:hAnsi="Calibri" w:cs="Calibri"/>
          <w:color w:val="2E2E2E"/>
        </w:rPr>
        <w:t xml:space="preserve">Follow this link: </w:t>
      </w:r>
      <w:hyperlink r:id="rId5" w:history="1">
        <w:r w:rsidR="007B3214">
          <w:rPr>
            <w:rStyle w:val="Hyperlink"/>
            <w:color w:val="007398"/>
          </w:rPr>
          <w:t>Future use-cases of vaccines in malaria control and elimination</w:t>
        </w:r>
      </w:hyperlink>
      <w:r w:rsidR="007758AA">
        <w:rPr>
          <w:rFonts w:eastAsia="Times New Roman"/>
        </w:rPr>
        <w:t xml:space="preserve">) </w:t>
      </w:r>
      <w:r w:rsidR="00F91B59">
        <w:rPr>
          <w:rFonts w:eastAsia="Times New Roman"/>
        </w:rPr>
        <w:t>the authors</w:t>
      </w:r>
      <w:r w:rsidR="003B4172">
        <w:rPr>
          <w:rFonts w:eastAsia="Times New Roman"/>
        </w:rPr>
        <w:t xml:space="preserve"> used </w:t>
      </w:r>
      <w:r w:rsidR="00875A81">
        <w:rPr>
          <w:rFonts w:eastAsia="Times New Roman"/>
        </w:rPr>
        <w:t xml:space="preserve">modelling to assess the effects of mass vaccination </w:t>
      </w:r>
      <w:r w:rsidR="00A340DF">
        <w:rPr>
          <w:rFonts w:eastAsia="Times New Roman"/>
        </w:rPr>
        <w:t xml:space="preserve">alone (with a partially protective vaccine), </w:t>
      </w:r>
      <w:r w:rsidR="00A2466A">
        <w:rPr>
          <w:rFonts w:eastAsia="Times New Roman"/>
        </w:rPr>
        <w:t>mass drug administration alone, or a combination of both intervention</w:t>
      </w:r>
      <w:r w:rsidR="001828C2">
        <w:rPr>
          <w:rFonts w:eastAsia="Times New Roman"/>
        </w:rPr>
        <w:t xml:space="preserve">s over a range of </w:t>
      </w:r>
      <w:r w:rsidR="00845115">
        <w:rPr>
          <w:rFonts w:eastAsia="Times New Roman"/>
        </w:rPr>
        <w:t>coverage and transmission scenarios</w:t>
      </w:r>
      <w:r w:rsidR="00B235C2">
        <w:rPr>
          <w:rFonts w:eastAsia="Times New Roman"/>
        </w:rPr>
        <w:t xml:space="preserve"> across a three-year period</w:t>
      </w:r>
      <w:r w:rsidR="00845115">
        <w:rPr>
          <w:rFonts w:eastAsia="Times New Roman"/>
        </w:rPr>
        <w:t>. The result</w:t>
      </w:r>
      <w:r w:rsidR="007277C3">
        <w:rPr>
          <w:rFonts w:eastAsia="Times New Roman"/>
        </w:rPr>
        <w:t>s</w:t>
      </w:r>
      <w:r w:rsidR="00845115">
        <w:rPr>
          <w:rFonts w:eastAsia="Times New Roman"/>
        </w:rPr>
        <w:t xml:space="preserve"> suggest</w:t>
      </w:r>
      <w:r w:rsidR="00B235C2">
        <w:rPr>
          <w:rFonts w:eastAsia="Times New Roman"/>
        </w:rPr>
        <w:t xml:space="preserve"> that if interruption of transmission is not achieved</w:t>
      </w:r>
      <w:r w:rsidR="007277C3">
        <w:rPr>
          <w:rFonts w:eastAsia="Times New Roman"/>
        </w:rPr>
        <w:t xml:space="preserve"> prevalence resurges to initial levels </w:t>
      </w:r>
      <w:r w:rsidR="00B65F78">
        <w:rPr>
          <w:rFonts w:eastAsia="Times New Roman"/>
        </w:rPr>
        <w:t xml:space="preserve">after intervention ceases, and there is added benefit </w:t>
      </w:r>
      <w:r w:rsidR="00BF7844">
        <w:rPr>
          <w:rFonts w:eastAsia="Times New Roman"/>
        </w:rPr>
        <w:t xml:space="preserve">to consider dual rollout of mass drug administration </w:t>
      </w:r>
      <w:r w:rsidR="00E333A4">
        <w:rPr>
          <w:rFonts w:eastAsia="Times New Roman"/>
        </w:rPr>
        <w:t xml:space="preserve">and </w:t>
      </w:r>
      <w:r w:rsidR="00DC7690">
        <w:rPr>
          <w:rFonts w:eastAsia="Times New Roman"/>
        </w:rPr>
        <w:t>anti-infective vaccines when they become available.</w:t>
      </w:r>
    </w:p>
    <w:p w14:paraId="3BF96463" w14:textId="698CF15F" w:rsidR="00DC7690" w:rsidRDefault="00DC7690" w:rsidP="007758AA">
      <w:pPr>
        <w:pStyle w:val="ListParagraph"/>
        <w:spacing w:before="240"/>
        <w:ind w:left="0"/>
        <w:rPr>
          <w:rFonts w:eastAsia="Times New Roman"/>
        </w:rPr>
      </w:pPr>
    </w:p>
    <w:p w14:paraId="5F14A752" w14:textId="1E9FE0D1" w:rsidR="00DC7690" w:rsidRDefault="00E963DF" w:rsidP="007758AA">
      <w:pPr>
        <w:pStyle w:val="ListParagraph"/>
        <w:spacing w:before="240"/>
        <w:ind w:left="0"/>
        <w:rPr>
          <w:rFonts w:ascii="Calibri" w:hAnsi="Calibri" w:cs="Calibri"/>
        </w:rPr>
      </w:pPr>
      <w:r>
        <w:rPr>
          <w:rFonts w:ascii="Calibri" w:hAnsi="Calibri" w:cs="Calibri"/>
          <w:b/>
          <w:bCs/>
        </w:rPr>
        <w:t>Relevance to RAM:</w:t>
      </w:r>
      <w:r w:rsidR="00961FCE">
        <w:rPr>
          <w:rFonts w:ascii="Calibri" w:hAnsi="Calibri" w:cs="Calibri"/>
          <w:b/>
          <w:bCs/>
        </w:rPr>
        <w:t xml:space="preserve"> </w:t>
      </w:r>
      <w:r w:rsidR="00961FCE">
        <w:rPr>
          <w:rFonts w:ascii="Calibri" w:hAnsi="Calibri" w:cs="Calibri"/>
        </w:rPr>
        <w:t xml:space="preserve">Even when malaria vaccines become available </w:t>
      </w:r>
      <w:r w:rsidR="0048721B">
        <w:rPr>
          <w:rFonts w:ascii="Calibri" w:hAnsi="Calibri" w:cs="Calibri"/>
        </w:rPr>
        <w:t>their use in the field will not be straightforward</w:t>
      </w:r>
      <w:r w:rsidR="000B1B62">
        <w:rPr>
          <w:rFonts w:ascii="Calibri" w:hAnsi="Calibri" w:cs="Calibri"/>
        </w:rPr>
        <w:t xml:space="preserve">. </w:t>
      </w:r>
      <w:r w:rsidR="00975BE7">
        <w:rPr>
          <w:rFonts w:ascii="Calibri" w:hAnsi="Calibri" w:cs="Calibri"/>
        </w:rPr>
        <w:t>The use of vaccines will have to be combined with other interventions such as vector control, chemoprevention and chemotherapy</w:t>
      </w:r>
      <w:r w:rsidR="008F2254">
        <w:rPr>
          <w:rFonts w:ascii="Calibri" w:hAnsi="Calibri" w:cs="Calibri"/>
        </w:rPr>
        <w:t xml:space="preserve"> to achieve </w:t>
      </w:r>
      <w:r w:rsidR="00360562">
        <w:rPr>
          <w:rFonts w:ascii="Calibri" w:hAnsi="Calibri" w:cs="Calibri"/>
        </w:rPr>
        <w:t xml:space="preserve">overall </w:t>
      </w:r>
      <w:r w:rsidR="008F2254">
        <w:rPr>
          <w:rFonts w:ascii="Calibri" w:hAnsi="Calibri" w:cs="Calibri"/>
        </w:rPr>
        <w:t>“malaria health” goals</w:t>
      </w:r>
      <w:r w:rsidR="00837D1B">
        <w:rPr>
          <w:rFonts w:ascii="Calibri" w:hAnsi="Calibri" w:cs="Calibri"/>
        </w:rPr>
        <w:t xml:space="preserve"> rather than </w:t>
      </w:r>
      <w:r w:rsidR="00360562">
        <w:rPr>
          <w:rFonts w:ascii="Calibri" w:hAnsi="Calibri" w:cs="Calibri"/>
        </w:rPr>
        <w:t xml:space="preserve">specific </w:t>
      </w:r>
      <w:r w:rsidR="005675A1">
        <w:rPr>
          <w:rFonts w:ascii="Calibri" w:hAnsi="Calibri" w:cs="Calibri"/>
        </w:rPr>
        <w:t>efficacy and duration</w:t>
      </w:r>
      <w:r w:rsidR="00360562">
        <w:rPr>
          <w:rFonts w:ascii="Calibri" w:hAnsi="Calibri" w:cs="Calibri"/>
        </w:rPr>
        <w:t xml:space="preserve"> targets alone</w:t>
      </w:r>
      <w:r w:rsidR="008F2254">
        <w:rPr>
          <w:rFonts w:ascii="Calibri" w:hAnsi="Calibri" w:cs="Calibri"/>
        </w:rPr>
        <w:t>.</w:t>
      </w:r>
    </w:p>
    <w:p w14:paraId="5174FACB" w14:textId="57B8382C" w:rsidR="008F2254" w:rsidRDefault="008F2254" w:rsidP="007758AA">
      <w:pPr>
        <w:pStyle w:val="ListParagraph"/>
        <w:spacing w:before="240"/>
        <w:ind w:left="0"/>
        <w:rPr>
          <w:rFonts w:ascii="Calibri" w:hAnsi="Calibri" w:cs="Calibri"/>
        </w:rPr>
      </w:pPr>
    </w:p>
    <w:p w14:paraId="6F2CAECA" w14:textId="77777777" w:rsidR="006248A4" w:rsidRDefault="008D7F7D" w:rsidP="006248A4">
      <w:pPr>
        <w:pStyle w:val="ListParagraph"/>
        <w:numPr>
          <w:ilvl w:val="0"/>
          <w:numId w:val="2"/>
        </w:numPr>
        <w:spacing w:before="240"/>
        <w:rPr>
          <w:rFonts w:ascii="Calibri" w:hAnsi="Calibri" w:cs="Calibri"/>
          <w:b/>
          <w:bCs/>
        </w:rPr>
      </w:pPr>
      <w:r w:rsidRPr="000C35D3">
        <w:rPr>
          <w:rFonts w:ascii="Calibri" w:hAnsi="Calibri" w:cs="Calibri"/>
          <w:b/>
          <w:bCs/>
        </w:rPr>
        <w:t>Artem</w:t>
      </w:r>
      <w:r w:rsidR="000C35D3" w:rsidRPr="000C35D3">
        <w:rPr>
          <w:rFonts w:ascii="Calibri" w:hAnsi="Calibri" w:cs="Calibri"/>
          <w:b/>
          <w:bCs/>
        </w:rPr>
        <w:t>isinin Resistance Emerges in Africa:</w:t>
      </w:r>
      <w:r w:rsidR="000C35D3">
        <w:rPr>
          <w:rFonts w:ascii="Calibri" w:hAnsi="Calibri" w:cs="Calibri"/>
          <w:b/>
          <w:bCs/>
        </w:rPr>
        <w:t xml:space="preserve">  </w:t>
      </w:r>
    </w:p>
    <w:p w14:paraId="1C4395C3" w14:textId="77777777" w:rsidR="00BC37AF" w:rsidRDefault="002727B2" w:rsidP="006248A4">
      <w:pPr>
        <w:pStyle w:val="ListParagraph"/>
        <w:spacing w:before="240"/>
        <w:ind w:left="0"/>
        <w:rPr>
          <w:color w:val="000000"/>
          <w:shd w:val="clear" w:color="auto" w:fill="FFFFFF"/>
        </w:rPr>
      </w:pPr>
      <w:r w:rsidRPr="008A6753">
        <w:rPr>
          <w:rFonts w:ascii="Calibri" w:hAnsi="Calibri" w:cs="Calibri"/>
        </w:rPr>
        <w:t xml:space="preserve">Cases of resistance </w:t>
      </w:r>
      <w:r w:rsidR="00135426" w:rsidRPr="008A6753">
        <w:rPr>
          <w:rFonts w:ascii="Calibri" w:hAnsi="Calibri" w:cs="Calibri"/>
        </w:rPr>
        <w:t xml:space="preserve">to the anti-malarial drug </w:t>
      </w:r>
      <w:r w:rsidR="0025273B" w:rsidRPr="008A6753">
        <w:rPr>
          <w:rFonts w:ascii="Calibri" w:hAnsi="Calibri" w:cs="Calibri"/>
        </w:rPr>
        <w:t>A</w:t>
      </w:r>
      <w:r w:rsidR="00135426" w:rsidRPr="008A6753">
        <w:rPr>
          <w:rFonts w:ascii="Calibri" w:hAnsi="Calibri" w:cs="Calibri"/>
        </w:rPr>
        <w:t xml:space="preserve">rtemisinin were identified in Rwanda for the </w:t>
      </w:r>
      <w:r w:rsidR="006248A4" w:rsidRPr="008A6753">
        <w:rPr>
          <w:rFonts w:ascii="Calibri" w:hAnsi="Calibri" w:cs="Calibri"/>
        </w:rPr>
        <w:t>first-time</w:t>
      </w:r>
      <w:r w:rsidR="00135426" w:rsidRPr="008A6753">
        <w:rPr>
          <w:rFonts w:ascii="Calibri" w:hAnsi="Calibri" w:cs="Calibri"/>
        </w:rPr>
        <w:t xml:space="preserve"> last month</w:t>
      </w:r>
      <w:r w:rsidR="00DC3FDD" w:rsidRPr="008A6753">
        <w:rPr>
          <w:rFonts w:ascii="Calibri" w:hAnsi="Calibri" w:cs="Calibri"/>
        </w:rPr>
        <w:t>, the first emergence of such resistance in Africa</w:t>
      </w:r>
      <w:r w:rsidR="00D2650A" w:rsidRPr="008A6753">
        <w:rPr>
          <w:rFonts w:ascii="Calibri" w:hAnsi="Calibri" w:cs="Calibri"/>
        </w:rPr>
        <w:t xml:space="preserve">.  The resistant </w:t>
      </w:r>
      <w:r w:rsidR="00873142" w:rsidRPr="008A6753">
        <w:rPr>
          <w:rFonts w:ascii="Calibri" w:hAnsi="Calibri" w:cs="Calibri"/>
        </w:rPr>
        <w:t>parasites found in Rwanda did not spread from Asia where</w:t>
      </w:r>
      <w:r w:rsidR="0025273B" w:rsidRPr="008A6753">
        <w:rPr>
          <w:rFonts w:ascii="Calibri" w:hAnsi="Calibri" w:cs="Calibri"/>
        </w:rPr>
        <w:t xml:space="preserve"> A</w:t>
      </w:r>
      <w:r w:rsidR="00873142" w:rsidRPr="008A6753">
        <w:rPr>
          <w:rFonts w:ascii="Calibri" w:hAnsi="Calibri" w:cs="Calibri"/>
        </w:rPr>
        <w:t>rtemisinin</w:t>
      </w:r>
      <w:r w:rsidR="0025273B" w:rsidRPr="008A6753">
        <w:rPr>
          <w:rFonts w:ascii="Calibri" w:hAnsi="Calibri" w:cs="Calibri"/>
        </w:rPr>
        <w:t xml:space="preserve"> resistance is </w:t>
      </w:r>
      <w:r w:rsidR="006248A4" w:rsidRPr="008A6753">
        <w:rPr>
          <w:rFonts w:ascii="Calibri" w:hAnsi="Calibri" w:cs="Calibri"/>
        </w:rPr>
        <w:t>widespread but</w:t>
      </w:r>
      <w:r w:rsidR="0025273B" w:rsidRPr="008A6753">
        <w:rPr>
          <w:rFonts w:ascii="Calibri" w:hAnsi="Calibri" w:cs="Calibri"/>
        </w:rPr>
        <w:t xml:space="preserve"> developed locally.</w:t>
      </w:r>
      <w:r w:rsidR="008A6753" w:rsidRPr="008A6753">
        <w:rPr>
          <w:rFonts w:ascii="Calibri" w:hAnsi="Calibri" w:cs="Calibri"/>
        </w:rPr>
        <w:t xml:space="preserve"> </w:t>
      </w:r>
      <w:r w:rsidR="006841F3">
        <w:rPr>
          <w:rFonts w:ascii="Calibri" w:hAnsi="Calibri" w:cs="Calibri"/>
        </w:rPr>
        <w:t>T</w:t>
      </w:r>
      <w:r w:rsidR="008A6753" w:rsidRPr="008A6753">
        <w:rPr>
          <w:color w:val="000000"/>
          <w:shd w:val="clear" w:color="auto" w:fill="FFFFFF"/>
        </w:rPr>
        <w:t>he spread or independent emergence of artemisinin resistance could pose a global public health threat as no alternative treatment is as efficient or tolerable, according to the WHO.</w:t>
      </w:r>
      <w:r w:rsidR="006841F3">
        <w:rPr>
          <w:color w:val="000000"/>
          <w:shd w:val="clear" w:color="auto" w:fill="FFFFFF"/>
        </w:rPr>
        <w:t xml:space="preserve">  </w:t>
      </w:r>
    </w:p>
    <w:p w14:paraId="514FC999" w14:textId="5E4E2343" w:rsidR="00590783" w:rsidRDefault="008245A2" w:rsidP="006248A4">
      <w:pPr>
        <w:pStyle w:val="ListParagraph"/>
        <w:spacing w:before="240"/>
        <w:ind w:left="0"/>
      </w:pPr>
      <w:r>
        <w:rPr>
          <w:color w:val="000000"/>
          <w:shd w:val="clear" w:color="auto" w:fill="FFFFFF"/>
        </w:rPr>
        <w:t xml:space="preserve">Link: </w:t>
      </w:r>
      <w:hyperlink r:id="rId6" w:history="1">
        <w:r w:rsidR="001B3327">
          <w:rPr>
            <w:rStyle w:val="Hyperlink"/>
          </w:rPr>
          <w:t>https://www.scidev.net/global/malaria/news/malaria-artemisinin-resistance-emerges-in-africa.html?utm_source=Global+Health+NOW+Main+List&amp;utm_campaign=3c95afe781-EMAIL_CAMPAIGN_2020_08_26_03_40&amp;utm_medium=email&amp;utm_term=0_8d0d062dbd-3c95afe781-2883217</w:t>
        </w:r>
      </w:hyperlink>
    </w:p>
    <w:p w14:paraId="76ABBAB8" w14:textId="35272EF0" w:rsidR="001B3327" w:rsidRDefault="001B3327" w:rsidP="006248A4">
      <w:pPr>
        <w:pStyle w:val="ListParagraph"/>
        <w:spacing w:before="240"/>
        <w:ind w:left="0"/>
      </w:pPr>
    </w:p>
    <w:p w14:paraId="0153C51A" w14:textId="5B713CB9" w:rsidR="00EB6750" w:rsidRDefault="00EB6750" w:rsidP="00EB6750">
      <w:pPr>
        <w:pStyle w:val="ListParagraph"/>
        <w:ind w:left="0"/>
      </w:pPr>
      <w:r w:rsidRPr="00B5441C">
        <w:rPr>
          <w:b/>
        </w:rPr>
        <w:t>Relevance to RAM:</w:t>
      </w:r>
      <w:r>
        <w:t xml:space="preserve">  </w:t>
      </w:r>
      <w:r w:rsidR="0008767E">
        <w:t xml:space="preserve">At present there </w:t>
      </w:r>
      <w:r w:rsidR="001308AF">
        <w:t xml:space="preserve">are no </w:t>
      </w:r>
      <w:r w:rsidR="00056FE6">
        <w:t xml:space="preserve">convenient </w:t>
      </w:r>
      <w:r w:rsidR="001308AF">
        <w:t xml:space="preserve">drugs </w:t>
      </w:r>
      <w:r w:rsidR="00066ACF">
        <w:t>other than Artemisin</w:t>
      </w:r>
      <w:r w:rsidR="00616D41">
        <w:t xml:space="preserve">in </w:t>
      </w:r>
      <w:r w:rsidR="00066ACF">
        <w:t>for the treatment of the most severe cases of malaria</w:t>
      </w:r>
      <w:r w:rsidR="00056FE6">
        <w:t xml:space="preserve">, although Intravenous </w:t>
      </w:r>
      <w:r w:rsidR="00740B32" w:rsidRPr="00B85AEA">
        <w:rPr>
          <w:rFonts w:cstheme="minorHAnsi"/>
          <w:color w:val="212529"/>
        </w:rPr>
        <w:t>(IV) artesunate received approval from the U.S. Food and Drug Administration</w:t>
      </w:r>
      <w:r w:rsidR="00740B32">
        <w:rPr>
          <w:rFonts w:cstheme="minorHAnsi"/>
          <w:color w:val="212529"/>
        </w:rPr>
        <w:t xml:space="preserve"> in May 2020</w:t>
      </w:r>
      <w:r w:rsidR="00066ACF">
        <w:t xml:space="preserve">.  </w:t>
      </w:r>
      <w:r>
        <w:t>Detailed drug discovery studies continue to identify promising leads for potential therapeutic drugs.  However, any such therapies are still a long time away from surviving the drug development and registration process.  In the meantime, RAM will have to continue doing the best we can with the traditional tools available</w:t>
      </w:r>
      <w:r w:rsidR="00E97419">
        <w:t xml:space="preserve"> (bed nets, residual indoor spraying</w:t>
      </w:r>
      <w:r w:rsidR="00EC0948">
        <w:t>, breeding site destruction, etc.)</w:t>
      </w:r>
      <w:r>
        <w:t>.</w:t>
      </w:r>
    </w:p>
    <w:p w14:paraId="22335A7A" w14:textId="77777777" w:rsidR="00980FEE" w:rsidRDefault="00980FEE" w:rsidP="00EB6750">
      <w:pPr>
        <w:pStyle w:val="ListParagraph"/>
        <w:ind w:left="0"/>
      </w:pPr>
    </w:p>
    <w:p w14:paraId="3B407E09" w14:textId="663D4739" w:rsidR="001B3327" w:rsidRDefault="001B3327" w:rsidP="006248A4">
      <w:pPr>
        <w:pStyle w:val="ListParagraph"/>
        <w:spacing w:before="240"/>
        <w:ind w:left="0"/>
        <w:rPr>
          <w:color w:val="000000"/>
          <w:shd w:val="clear" w:color="auto" w:fill="FFFFFF"/>
        </w:rPr>
      </w:pPr>
    </w:p>
    <w:p w14:paraId="57E25349" w14:textId="540BBD9A" w:rsidR="00832560" w:rsidRDefault="00A74154" w:rsidP="008B5A8E">
      <w:pPr>
        <w:pStyle w:val="ListParagraph"/>
        <w:numPr>
          <w:ilvl w:val="0"/>
          <w:numId w:val="2"/>
        </w:numPr>
        <w:spacing w:before="240"/>
        <w:rPr>
          <w:b/>
          <w:bCs/>
          <w:color w:val="000000"/>
          <w:shd w:val="clear" w:color="auto" w:fill="FFFFFF"/>
        </w:rPr>
      </w:pPr>
      <w:r w:rsidRPr="00012340">
        <w:rPr>
          <w:b/>
          <w:bCs/>
          <w:color w:val="000000"/>
          <w:shd w:val="clear" w:color="auto" w:fill="FFFFFF"/>
        </w:rPr>
        <w:t>When is a Para</w:t>
      </w:r>
      <w:r w:rsidR="00012340" w:rsidRPr="00012340">
        <w:rPr>
          <w:b/>
          <w:bCs/>
          <w:color w:val="000000"/>
          <w:shd w:val="clear" w:color="auto" w:fill="FFFFFF"/>
        </w:rPr>
        <w:t>site-Infected Mosquito an Infectious Mosquito?</w:t>
      </w:r>
    </w:p>
    <w:p w14:paraId="1DA1A2E8" w14:textId="77777777" w:rsidR="00E767F1" w:rsidRDefault="0053659C" w:rsidP="002B785B">
      <w:pPr>
        <w:spacing w:before="240"/>
        <w:ind w:left="720"/>
        <w:rPr>
          <w:rFonts w:cstheme="minorHAnsi"/>
          <w:color w:val="2E2E2E"/>
        </w:rPr>
      </w:pPr>
      <w:r w:rsidRPr="00975597">
        <w:rPr>
          <w:color w:val="000000"/>
          <w:shd w:val="clear" w:color="auto" w:fill="FFFFFF"/>
        </w:rPr>
        <w:t xml:space="preserve">There is </w:t>
      </w:r>
      <w:r w:rsidRPr="00AD4138">
        <w:rPr>
          <w:rFonts w:cstheme="minorHAnsi"/>
          <w:color w:val="000000"/>
          <w:shd w:val="clear" w:color="auto" w:fill="FFFFFF"/>
        </w:rPr>
        <w:t xml:space="preserve">a </w:t>
      </w:r>
      <w:r w:rsidR="003E7567" w:rsidRPr="00AD4138">
        <w:rPr>
          <w:rFonts w:cstheme="minorHAnsi"/>
          <w:color w:val="000000"/>
          <w:shd w:val="clear" w:color="auto" w:fill="FFFFFF"/>
        </w:rPr>
        <w:t xml:space="preserve">discrepancy </w:t>
      </w:r>
      <w:r w:rsidR="00975597" w:rsidRPr="00AD4138">
        <w:rPr>
          <w:rFonts w:cstheme="minorHAnsi"/>
          <w:color w:val="000000"/>
          <w:shd w:val="clear" w:color="auto" w:fill="FFFFFF"/>
        </w:rPr>
        <w:t>between exposure to infected mosquito bites</w:t>
      </w:r>
      <w:r w:rsidR="00234D23" w:rsidRPr="00AD4138">
        <w:rPr>
          <w:rFonts w:cstheme="minorHAnsi"/>
          <w:color w:val="000000"/>
          <w:shd w:val="clear" w:color="auto" w:fill="FFFFFF"/>
        </w:rPr>
        <w:t xml:space="preserve"> and malaria incidence </w:t>
      </w:r>
      <w:r w:rsidR="004C2884" w:rsidRPr="00AD4138">
        <w:rPr>
          <w:rFonts w:cstheme="minorHAnsi"/>
          <w:color w:val="000000"/>
          <w:shd w:val="clear" w:color="auto" w:fill="FFFFFF"/>
        </w:rPr>
        <w:t xml:space="preserve">which raises the question of the minimum salivary gland sporozoite density that is required to achieve </w:t>
      </w:r>
      <w:r w:rsidR="003741C3" w:rsidRPr="00AD4138">
        <w:rPr>
          <w:rFonts w:cstheme="minorHAnsi"/>
          <w:color w:val="000000"/>
          <w:shd w:val="clear" w:color="auto" w:fill="FFFFFF"/>
        </w:rPr>
        <w:t>malaria infection following a mosquito bite</w:t>
      </w:r>
      <w:r w:rsidR="00AD4138" w:rsidRPr="00AD4138">
        <w:rPr>
          <w:rFonts w:cstheme="minorHAnsi"/>
          <w:color w:val="000000"/>
          <w:shd w:val="clear" w:color="auto" w:fill="FFFFFF"/>
        </w:rPr>
        <w:t xml:space="preserve">. </w:t>
      </w:r>
      <w:r w:rsidR="00AD4138" w:rsidRPr="00AD4138">
        <w:rPr>
          <w:rFonts w:cstheme="minorHAnsi"/>
          <w:color w:val="2E2E2E"/>
        </w:rPr>
        <w:t>Oocyst prevalence on mosquito midguts and sporozoite prevalence in salivary glands are commonly used to confirm successful malaria transmission, assuming that these are reliable indicators of the mosquito’s capacity to give rise to secondary infections.</w:t>
      </w:r>
      <w:r w:rsidR="003E6DA2">
        <w:rPr>
          <w:rFonts w:cstheme="minorHAnsi"/>
          <w:color w:val="2E2E2E"/>
        </w:rPr>
        <w:t xml:space="preserve">  In a recent paper </w:t>
      </w:r>
      <w:r w:rsidR="00761740">
        <w:rPr>
          <w:rFonts w:cstheme="minorHAnsi"/>
          <w:color w:val="2E2E2E"/>
        </w:rPr>
        <w:t>potential bottlenecks for succes</w:t>
      </w:r>
      <w:r w:rsidR="00907C68">
        <w:rPr>
          <w:rFonts w:cstheme="minorHAnsi"/>
          <w:color w:val="2E2E2E"/>
        </w:rPr>
        <w:t xml:space="preserve">sful transmission were investigated, leading to the conclusion </w:t>
      </w:r>
      <w:r w:rsidR="009A0CD1">
        <w:rPr>
          <w:rFonts w:cstheme="minorHAnsi"/>
          <w:color w:val="2E2E2E"/>
        </w:rPr>
        <w:t xml:space="preserve">that a better understanding </w:t>
      </w:r>
      <w:r w:rsidR="00430FF6">
        <w:rPr>
          <w:rFonts w:cstheme="minorHAnsi"/>
          <w:color w:val="2E2E2E"/>
        </w:rPr>
        <w:t>of the events that lead to successful inoculation of sporozoites by mosquito</w:t>
      </w:r>
      <w:r w:rsidR="002B785B">
        <w:rPr>
          <w:rFonts w:cstheme="minorHAnsi"/>
          <w:color w:val="2E2E2E"/>
        </w:rPr>
        <w:t xml:space="preserve">es </w:t>
      </w:r>
      <w:r w:rsidR="00D908B6">
        <w:rPr>
          <w:rFonts w:cstheme="minorHAnsi"/>
          <w:color w:val="2E2E2E"/>
        </w:rPr>
        <w:t xml:space="preserve">is </w:t>
      </w:r>
      <w:r w:rsidR="00341BFA">
        <w:rPr>
          <w:rFonts w:cstheme="minorHAnsi"/>
          <w:color w:val="2E2E2E"/>
        </w:rPr>
        <w:t xml:space="preserve">critical to designing effective interventions to shrink the malaria map.  </w:t>
      </w:r>
    </w:p>
    <w:p w14:paraId="1D6F2B15" w14:textId="5907DCE5" w:rsidR="00012340" w:rsidRDefault="00341BFA" w:rsidP="002B785B">
      <w:pPr>
        <w:spacing w:before="240"/>
        <w:ind w:left="720"/>
        <w:rPr>
          <w:rStyle w:val="Hyperlink"/>
          <w:rFonts w:ascii="Arial" w:hAnsi="Arial" w:cs="Arial"/>
          <w:color w:val="0C7DBB"/>
          <w:sz w:val="21"/>
          <w:szCs w:val="21"/>
        </w:rPr>
      </w:pPr>
      <w:r>
        <w:rPr>
          <w:rFonts w:cstheme="minorHAnsi"/>
          <w:color w:val="2E2E2E"/>
        </w:rPr>
        <w:t>Link:</w:t>
      </w:r>
      <w:r w:rsidR="0002586F">
        <w:rPr>
          <w:rFonts w:cstheme="minorHAnsi"/>
          <w:color w:val="2E2E2E"/>
        </w:rPr>
        <w:t xml:space="preserve"> </w:t>
      </w:r>
      <w:hyperlink r:id="rId7" w:tgtFrame="_blank" w:tooltip="Persistent link using digital object identifier" w:history="1">
        <w:r w:rsidR="0002586F">
          <w:rPr>
            <w:rStyle w:val="Hyperlink"/>
            <w:rFonts w:ascii="Arial" w:hAnsi="Arial" w:cs="Arial"/>
            <w:color w:val="0C7DBB"/>
            <w:sz w:val="21"/>
            <w:szCs w:val="21"/>
          </w:rPr>
          <w:t>https://doi.org/10.1016/j.pt.2020.05.011</w:t>
        </w:r>
      </w:hyperlink>
    </w:p>
    <w:p w14:paraId="3958FDE7" w14:textId="5ED84D15" w:rsidR="0063774B" w:rsidRDefault="0063774B" w:rsidP="0063774B">
      <w:pPr>
        <w:pStyle w:val="ListParagraph"/>
      </w:pPr>
      <w:r w:rsidRPr="00B5441C">
        <w:rPr>
          <w:b/>
        </w:rPr>
        <w:t>Relevance to RAM:</w:t>
      </w:r>
      <w:r>
        <w:t xml:space="preserve">  No direct relevance in the short term but something to keep in mind if our next PhD project extends research into mosquito b</w:t>
      </w:r>
      <w:r w:rsidR="009221B6">
        <w:t xml:space="preserve">iting </w:t>
      </w:r>
      <w:r>
        <w:t xml:space="preserve">behaviour and </w:t>
      </w:r>
      <w:r w:rsidR="009221B6">
        <w:t xml:space="preserve">secondary </w:t>
      </w:r>
      <w:r w:rsidR="001F0010">
        <w:t xml:space="preserve">malaria </w:t>
      </w:r>
      <w:r w:rsidR="009221B6">
        <w:t>trans</w:t>
      </w:r>
      <w:r w:rsidR="001F0010">
        <w:t>mission rates.</w:t>
      </w:r>
      <w:r>
        <w:t xml:space="preserve"> </w:t>
      </w:r>
    </w:p>
    <w:p w14:paraId="2B120E20" w14:textId="77777777" w:rsidR="001F0010" w:rsidRDefault="001F0010" w:rsidP="0063774B">
      <w:pPr>
        <w:pStyle w:val="ListParagraph"/>
      </w:pPr>
    </w:p>
    <w:p w14:paraId="1DB22DF6" w14:textId="3EE44B6F" w:rsidR="00CC3D28" w:rsidRDefault="00360562" w:rsidP="002B785B">
      <w:pPr>
        <w:spacing w:before="240"/>
        <w:ind w:left="720"/>
        <w:rPr>
          <w:rFonts w:cstheme="minorHAnsi"/>
          <w:color w:val="000000"/>
          <w:shd w:val="clear" w:color="auto" w:fill="FFFFFF"/>
        </w:rPr>
      </w:pPr>
      <w:r>
        <w:rPr>
          <w:rFonts w:cstheme="minorHAnsi"/>
          <w:color w:val="000000"/>
          <w:shd w:val="clear" w:color="auto" w:fill="FFFFFF"/>
        </w:rPr>
        <w:t>Bruce Anderson</w:t>
      </w:r>
      <w:r w:rsidR="00E73D1E">
        <w:rPr>
          <w:rFonts w:cstheme="minorHAnsi"/>
          <w:color w:val="000000"/>
          <w:shd w:val="clear" w:color="auto" w:fill="FFFFFF"/>
        </w:rPr>
        <w:t xml:space="preserve"> 11 September 2020</w:t>
      </w:r>
    </w:p>
    <w:p w14:paraId="572EAE6D" w14:textId="77777777" w:rsidR="006A5C8C" w:rsidRPr="00AD4138" w:rsidRDefault="006A5C8C" w:rsidP="002B785B">
      <w:pPr>
        <w:spacing w:before="240"/>
        <w:ind w:left="720"/>
        <w:rPr>
          <w:rFonts w:cstheme="minorHAnsi"/>
          <w:color w:val="000000"/>
          <w:shd w:val="clear" w:color="auto" w:fill="FFFFFF"/>
        </w:rPr>
      </w:pPr>
    </w:p>
    <w:sectPr w:rsidR="006A5C8C" w:rsidRPr="00AD4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44AA1"/>
    <w:multiLevelType w:val="hybridMultilevel"/>
    <w:tmpl w:val="1BA633F2"/>
    <w:lvl w:ilvl="0" w:tplc="B340251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67282971"/>
    <w:multiLevelType w:val="hybridMultilevel"/>
    <w:tmpl w:val="7B12E4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47"/>
    <w:rsid w:val="00012340"/>
    <w:rsid w:val="0002586F"/>
    <w:rsid w:val="00056FE6"/>
    <w:rsid w:val="00066ACF"/>
    <w:rsid w:val="0008767E"/>
    <w:rsid w:val="000A2960"/>
    <w:rsid w:val="000B1B62"/>
    <w:rsid w:val="000B4F75"/>
    <w:rsid w:val="000C35D3"/>
    <w:rsid w:val="00105387"/>
    <w:rsid w:val="001308AF"/>
    <w:rsid w:val="00135426"/>
    <w:rsid w:val="001828C2"/>
    <w:rsid w:val="001B3327"/>
    <w:rsid w:val="001F0010"/>
    <w:rsid w:val="00234D23"/>
    <w:rsid w:val="0025273B"/>
    <w:rsid w:val="002727B2"/>
    <w:rsid w:val="002B785B"/>
    <w:rsid w:val="002B7B3C"/>
    <w:rsid w:val="00341BFA"/>
    <w:rsid w:val="00360562"/>
    <w:rsid w:val="003628DA"/>
    <w:rsid w:val="003741C3"/>
    <w:rsid w:val="003B4172"/>
    <w:rsid w:val="003E6DA2"/>
    <w:rsid w:val="003E7567"/>
    <w:rsid w:val="0040124B"/>
    <w:rsid w:val="00407A1E"/>
    <w:rsid w:val="00430FF6"/>
    <w:rsid w:val="0043258D"/>
    <w:rsid w:val="0046742A"/>
    <w:rsid w:val="0048721B"/>
    <w:rsid w:val="004C2884"/>
    <w:rsid w:val="00521B17"/>
    <w:rsid w:val="0053659C"/>
    <w:rsid w:val="005675A1"/>
    <w:rsid w:val="00590783"/>
    <w:rsid w:val="0059373F"/>
    <w:rsid w:val="005D065A"/>
    <w:rsid w:val="00616D41"/>
    <w:rsid w:val="006248A4"/>
    <w:rsid w:val="0063774B"/>
    <w:rsid w:val="006841F3"/>
    <w:rsid w:val="006A358C"/>
    <w:rsid w:val="006A5C8C"/>
    <w:rsid w:val="007277C3"/>
    <w:rsid w:val="00740B32"/>
    <w:rsid w:val="00761740"/>
    <w:rsid w:val="007758AA"/>
    <w:rsid w:val="0079676E"/>
    <w:rsid w:val="007B3214"/>
    <w:rsid w:val="007F0B76"/>
    <w:rsid w:val="008245A2"/>
    <w:rsid w:val="00832560"/>
    <w:rsid w:val="00837D1B"/>
    <w:rsid w:val="00845115"/>
    <w:rsid w:val="00873142"/>
    <w:rsid w:val="00875A81"/>
    <w:rsid w:val="00890A47"/>
    <w:rsid w:val="008941AF"/>
    <w:rsid w:val="008A6753"/>
    <w:rsid w:val="008B5A8E"/>
    <w:rsid w:val="008D10A2"/>
    <w:rsid w:val="008D7F7D"/>
    <w:rsid w:val="008F2254"/>
    <w:rsid w:val="00907C68"/>
    <w:rsid w:val="009221B6"/>
    <w:rsid w:val="00961FCE"/>
    <w:rsid w:val="00975597"/>
    <w:rsid w:val="00975BE7"/>
    <w:rsid w:val="0097750A"/>
    <w:rsid w:val="00980FEE"/>
    <w:rsid w:val="009A0CD1"/>
    <w:rsid w:val="00A2466A"/>
    <w:rsid w:val="00A340DF"/>
    <w:rsid w:val="00A64C60"/>
    <w:rsid w:val="00A727A6"/>
    <w:rsid w:val="00A74154"/>
    <w:rsid w:val="00AB7C94"/>
    <w:rsid w:val="00AD4138"/>
    <w:rsid w:val="00B1053D"/>
    <w:rsid w:val="00B235C2"/>
    <w:rsid w:val="00B65F78"/>
    <w:rsid w:val="00BC37AF"/>
    <w:rsid w:val="00BC58C2"/>
    <w:rsid w:val="00BF7844"/>
    <w:rsid w:val="00C729C1"/>
    <w:rsid w:val="00C9547F"/>
    <w:rsid w:val="00CC3D28"/>
    <w:rsid w:val="00D2540C"/>
    <w:rsid w:val="00D2650A"/>
    <w:rsid w:val="00D4590E"/>
    <w:rsid w:val="00D61723"/>
    <w:rsid w:val="00D908B6"/>
    <w:rsid w:val="00DC3FDD"/>
    <w:rsid w:val="00DC7690"/>
    <w:rsid w:val="00DF317D"/>
    <w:rsid w:val="00E07CAD"/>
    <w:rsid w:val="00E32388"/>
    <w:rsid w:val="00E333A4"/>
    <w:rsid w:val="00E73D1E"/>
    <w:rsid w:val="00E767F1"/>
    <w:rsid w:val="00E963DF"/>
    <w:rsid w:val="00E965AC"/>
    <w:rsid w:val="00E97419"/>
    <w:rsid w:val="00EB6750"/>
    <w:rsid w:val="00EC0948"/>
    <w:rsid w:val="00F02AC2"/>
    <w:rsid w:val="00F91B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1463"/>
  <w15:chartTrackingRefBased/>
  <w15:docId w15:val="{6190BC8A-EA9F-4A94-A163-BFFCF6C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A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A47"/>
    <w:pPr>
      <w:ind w:left="720"/>
      <w:contextualSpacing/>
    </w:pPr>
  </w:style>
  <w:style w:type="character" w:styleId="Hyperlink">
    <w:name w:val="Hyperlink"/>
    <w:basedOn w:val="DefaultParagraphFont"/>
    <w:uiPriority w:val="99"/>
    <w:semiHidden/>
    <w:unhideWhenUsed/>
    <w:rsid w:val="00E32388"/>
    <w:rPr>
      <w:color w:val="0000FF"/>
      <w:u w:val="single"/>
    </w:rPr>
  </w:style>
  <w:style w:type="character" w:styleId="FollowedHyperlink">
    <w:name w:val="FollowedHyperlink"/>
    <w:basedOn w:val="DefaultParagraphFont"/>
    <w:uiPriority w:val="99"/>
    <w:semiHidden/>
    <w:unhideWhenUsed/>
    <w:rsid w:val="007B32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pt.2020.05.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dev.net/global/malaria/news/malaria-artemisinin-resistance-emerges-in-africa.html?utm_source=Global+Health+NOW+Main+List&amp;utm_campaign=3c95afe781-EMAIL_CAMPAIGN_2020_08_26_03_40&amp;utm_medium=email&amp;utm_term=0_8d0d062dbd-3c95afe781-2883217" TargetMode="External"/><Relationship Id="rId5" Type="http://schemas.openxmlformats.org/officeDocument/2006/relationships/hyperlink" Target="https://click.notification.elsevier.com/CL0/https:%2F%2Fwww.sciencedirect.com%2Fscience%3F_ob=GatewayURL%26_method=citationSearch%26_version=1%26_piikey=S2405673120300143%26_origin=RV_SD_TOC_EMAIL%26dgcid=raven_sd_via_email/1/010001742c72d332-67603d0b-4e85-4c15-bbe7-87ddce8e7077-000000/oLrK4DKlAvYoIZFeSTZ_jwo253PXymynqlTohfg4SnM=15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Anderson</dc:creator>
  <cp:keywords/>
  <dc:description/>
  <cp:lastModifiedBy>Everett Hargreaves</cp:lastModifiedBy>
  <cp:revision>2</cp:revision>
  <dcterms:created xsi:type="dcterms:W3CDTF">2020-09-11T23:30:00Z</dcterms:created>
  <dcterms:modified xsi:type="dcterms:W3CDTF">2020-09-11T23:30:00Z</dcterms:modified>
</cp:coreProperties>
</file>